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83a75e1444e2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1372.026(a)(2)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200,000 or more but less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293.002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 or a public hospital; borders the county in which the State Capitol is located; and has more than 100,000 but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42.101(2)</w:t>
            </w:r>
          </w:p>
        </w:tc>
        <w:tc>
          <w:p>
            <w:r>
              <w:t>Applicability</w:t>
            </w:r>
          </w:p>
        </w:tc>
        <w:tc>
          <w:p>
            <w:r>
              <w:t>Population grew by more than 50% from the previous federal decennial census in the federal decennial census conducted in 2020; and has a population greater than 240,000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42.151(2)</w:t>
            </w:r>
          </w:p>
        </w:tc>
        <w:tc>
          <w:p>
            <w:r>
              <w:t>Applicability</w:t>
            </w:r>
          </w:p>
        </w:tc>
        <w:tc>
          <w:p>
            <w:r>
              <w:t>Population grew by more than 50% from the previous federal decennial census in the federal decennial census conducted in 2020; and has a population greater than 240,000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