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02f659fb9941bb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1372.026(a)(2)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200,000 or more but less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403.604(b)(3)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100,000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434.424(2)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434.425(2)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531.0991(h)(2)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531.0992(d-1)(2)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531.0993(c)(2)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293.002</w:t>
            </w:r>
          </w:p>
        </w:tc>
        <w:tc>
          <w:p>
            <w:r>
              <w:t>Applicability</w:t>
            </w:r>
          </w:p>
        </w:tc>
        <w:tc>
          <w:p>
            <w:r>
              <w:t>Is not served by a hospital district or a public hospital; borders the county in which the State Capitol is located; and has more than 100,000 but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2651.012(c)(3)</w:t>
            </w:r>
          </w:p>
        </w:tc>
        <w:tc>
          <w:p>
            <w:r>
              <w:t>Unencumbered Assets</w:t>
            </w:r>
          </w:p>
        </w:tc>
        <w:tc>
          <w:p>
            <w:r>
              <w:t>200,000 or more but less than 1 million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318.021</w:t>
            </w:r>
          </w:p>
        </w:tc>
        <w:tc>
          <w:p>
            <w:r>
              <w:t>Appropriations to Historical Foundations: Certain Counties</w:t>
            </w:r>
          </w:p>
        </w:tc>
        <w:tc>
          <w:p>
            <w:r>
              <w:t>239,000 to 825,000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42.101(2)</w:t>
            </w:r>
          </w:p>
        </w:tc>
        <w:tc>
          <w:p>
            <w:r>
              <w:t>Applicability</w:t>
            </w:r>
          </w:p>
        </w:tc>
        <w:tc>
          <w:p>
            <w:r>
              <w:t>Population grew by more than 50% from the previous federal decennial census in the federal decennial census conducted in 2020; and has a population greater than 240,000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42.151(2)</w:t>
            </w:r>
          </w:p>
        </w:tc>
        <w:tc>
          <w:p>
            <w:r>
              <w:t>Applicability</w:t>
            </w:r>
          </w:p>
        </w:tc>
        <w:tc>
          <w:p>
            <w:r>
              <w:t>Population grew by more than 50% from the previous federal decennial census in the federal decennial census conducted in 2020; and has a population greater than 240,000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