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20c724c16047e4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201.151(e)</w:t>
            </w:r>
          </w:p>
        </w:tc>
        <w:tc>
          <w:p>
            <w:r>
              <w:t>Use of County Machinery and Equipment</w:t>
            </w:r>
          </w:p>
        </w:tc>
        <w:tc>
          <w:p>
            <w:r>
              <w:t>Not less than 22,000 or more than 23,000, not less than 60,000 nor more than 80,000, or not less than 290,000 nor more than 360,000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