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f041bfdb574eec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615.002(a)</w:t>
            </w:r>
          </w:p>
        </w:tc>
        <w:tc>
          <w:p>
            <w:r>
              <w:t>Regulation of Courthouse Parking Lots in Certain Counties</w:t>
            </w:r>
          </w:p>
        </w:tc>
        <w:tc>
          <w:p>
            <w:r>
              <w:t>14,050 to 14,250;19,700 to 19,800;21,850 to 22,000;54,000 to 54,500;36,500 to 36,800; or 234,000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352.002(a)(12)</w:t>
            </w:r>
          </w:p>
        </w:tc>
        <w:tc>
          <w:p>
            <w:r>
              <w:t>Tax Authorized</w:t>
            </w:r>
          </w:p>
        </w:tc>
        <w:tc>
          <w:p>
            <w:r>
              <w:t>35,000 or more and borders or contains a portion of Lake Fork Reservoir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