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be4628c71435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775.034(h)(3)</w:t>
            </w:r>
          </w:p>
        </w:tc>
        <w:tc>
          <w:p>
            <w:r>
              <w:t>Appointment of Board in District Located Wholly in One County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775.0345(a)(3)</w:t>
            </w:r>
          </w:p>
        </w:tc>
        <w:tc>
          <w:p>
            <w:r>
              <w:t>Election of Board in Certain Counties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775.0355(b)(3)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270.005(a)</w:t>
            </w:r>
          </w:p>
        </w:tc>
        <w:tc>
          <w:p>
            <w:r>
              <w:t>Contracts with Federal Government for Construction in Populous County</w:t>
            </w:r>
          </w:p>
        </w:tc>
        <w:tc>
          <w:p>
            <w:r>
              <w:t>251,000 to 275,000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292.026(a)</w:t>
            </w:r>
          </w:p>
        </w:tc>
        <w:tc>
          <w:p>
            <w:r>
              <w:t>Tax Assessor-Collector Facilities in Certain Counties With Populations Over 70,000</w:t>
            </w:r>
          </w:p>
        </w:tc>
        <w:tc>
          <w:p>
            <w:r>
              <w:t>More than 70,000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