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88a6d4ce0491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300C.0003(2)</w:t>
            </w:r>
          </w:p>
        </w:tc>
        <w:tc>
          <w:p>
            <w:r>
              <w:t>Applicability</w:t>
            </w:r>
          </w:p>
        </w:tc>
        <w:tc>
          <w:p>
            <w:r>
              <w:t>More than 45,000 and less than 55,000 that borders Oklahoma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352.002(bb)</w:t>
            </w:r>
          </w:p>
        </w:tc>
        <w:tc>
          <w:p>
            <w:r>
              <w:t>Tax Authorized</w:t>
            </w:r>
          </w:p>
        </w:tc>
        <w:tc>
          <w:p>
            <w:r>
              <w:t>More than 40,000 that borders the Red River and includes a wildlife management area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2700d-19</w:t>
            </w:r>
          </w:p>
        </w:tc>
        <w:tc>
          <w:p>
            <w:r>
              <w:t>Education - Public,County Schools,County superintendent--expenses</w:t>
            </w:r>
          </w:p>
        </w:tc>
        <w:tc>
          <w:p>
            <w:r>
              <w:t>Not less than 21,835 and not more than 21,850;Not less than 50,000 and not more than 50,100;Not less than 48,900 and not more than 49,000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