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b177f88b9f49a8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61.013(a)(4)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10,000 or more but less than 20,000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41.203(b)(2)</w:t>
            </w:r>
          </w:p>
        </w:tc>
        <w:tc>
          <w:p>
            <w:r>
              <w:t>Amount of Transfer</w:t>
            </w:r>
          </w:p>
        </w:tc>
        <w:tc>
          <w:p>
            <w:r>
              <w:t>8,500 or more and not more than 19,000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1704.002(1)</w:t>
            </w:r>
          </w:p>
        </w:tc>
        <w:tc>
          <w:p>
            <w:r>
              <w:t>Application of Chapter</w:t>
            </w:r>
          </w:p>
        </w:tc>
        <w:tc>
          <w:p>
            <w:r>
              <w:t>Less than 110,000 in which a (county bail bond) board is created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562.110(j)</w:t>
            </w:r>
          </w:p>
        </w:tc>
        <w:tc>
          <w:p>
            <w:r>
              <w:t>Telepharmacy Systems</w:t>
            </w:r>
          </w:p>
        </w:tc>
        <w:tc>
          <w:p>
            <w:r>
              <w:t>At least 13,000 but not more than 14,000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