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142170a3ea403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2687c</w:t>
            </w:r>
          </w:p>
        </w:tc>
        <w:tc>
          <w:p>
            <w:r>
              <w:t>Education - Public,County Schools,Meetings in counties of 48,800 to 50,400 population</w:t>
            </w:r>
          </w:p>
        </w:tc>
        <w:tc>
          <w:p>
            <w:r>
              <w:t>Not less than 48,800 and not more than 50,400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2700d-22</w:t>
            </w:r>
          </w:p>
        </w:tc>
        <w:tc>
          <w:p>
            <w:r>
              <w:t>Education - Public,County Schools,Salary and expenses of superintendents in counties of enumerated population</w:t>
            </w:r>
          </w:p>
        </w:tc>
        <w:tc>
          <w:p>
            <w:r>
              <w:t>50,000 to 51,000;38,765 to 38,775;29,210 to 29,630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2701d-4</w:t>
            </w:r>
          </w:p>
        </w:tc>
        <w:tc>
          <w:p>
            <w:r>
              <w:t>Education-Public,County Schools,Supervisor, salary and duties in counties having population of 49,100 to 51,500</w:t>
            </w:r>
          </w:p>
        </w:tc>
        <w:tc>
          <w:p>
            <w:r>
              <w:t>49,100 to 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