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a660c773343e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27.055(g)</w:t>
            </w:r>
          </w:p>
        </w:tc>
        <w:tc>
          <w:p>
            <w:r>
              <w:t>Special and Temporary Justices</w:t>
            </w:r>
          </w:p>
        </w:tc>
        <w:tc>
          <w:p>
            <w:r>
              <w:t>At least 135,000 but not more than 145,000, with territory less than 940 square miles that includes a state park, and with not more than two justice precincts provided that at least one of the precincts contains all or part of a municipality with a population of at least 195,000 but not more than 205,000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</w:t>
            </w:r>
          </w:p>
        </w:tc>
        <w:tc>
          <w:p>
            <w:r>
              <w:t>Education - Public,County Schools,Superintendent's salary and expenses in counties of 100,000 to 150,000</w:t>
            </w:r>
          </w:p>
        </w:tc>
        <w:tc>
          <w:p>
            <w:r>
              <w:t>Not less than 100,000 nor more than 150,000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