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28cf382c694fd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1371.001(4)(H)(ii)</w:t>
            </w:r>
          </w:p>
        </w:tc>
        <w:tc>
          <w:p>
            <w:r>
              <w:t>Definitions</w:t>
            </w:r>
          </w:p>
        </w:tc>
        <w:tc>
          <w:p>
            <w:r>
              <w:t>Is included, in whole or in part, in a standard metropolitan statistical area of this state that includes a county with a population of more than 2.5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2688n</w:t>
            </w:r>
          </w:p>
        </w:tc>
        <w:tc>
          <w:p>
            <w:r>
              <w:t>Education - Public,County Schools,Counties of 25,750 to 28,000; county superintendents; abolition of office; transfer of duties</w:t>
            </w:r>
          </w:p>
        </w:tc>
        <w:tc>
          <w:p>
            <w:r>
              <w:t>Not less than 25,750 nor more than 28,000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2740f-5</w:t>
            </w:r>
          </w:p>
        </w:tc>
        <w:tc>
          <w:p>
            <w:r>
              <w:t>Education - Public,County Unit System,County unit system in counties of 27,000 to 30,000</w:t>
            </w:r>
          </w:p>
        </w:tc>
        <w:tc>
          <w:p>
            <w:r>
              <w:t>Not less than 27,000 and not more than 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18,000 or more but less than 50,000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