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5a5e747a7494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263.1545(a)</w:t>
            </w:r>
          </w:p>
        </w:tc>
        <w:tc>
          <w:p>
            <w:r>
              <w:t>Broker Agreements for the Sale of Certain Surplus Property by Certain Counties</w:t>
            </w:r>
          </w:p>
        </w:tc>
        <w:tc>
          <w:p>
            <w:r>
              <w:t>More than 1.2 million and less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Utilities Code</w:t>
            </w:r>
          </w:p>
        </w:tc>
        <w:tc>
          <w:p>
            <w:r>
              <w:t>35.038(a)</w:t>
            </w:r>
          </w:p>
        </w:tc>
        <w:tc>
          <w:p>
            <w:r>
              <w:t>Facilitating Certain Intercompany Landfill Gas-to-Electricity Use</w:t>
            </w:r>
          </w:p>
        </w:tc>
        <w:tc>
          <w:p>
            <w:r>
              <w:t>More than 1.2 million in which a national wildlife refuge is wholly or partly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