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8f225b07864f2a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363.051(a)(1)(B)(i-iii)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Does not border the United Mexican States; is adjacent to a county with 500,000 or more that borders the United Mexican States; and has a population of 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61.021(c )(2)(B)</w:t>
            </w:r>
          </w:p>
        </w:tc>
        <w:tc>
          <w:p>
            <w:r>
              <w:t>Taking Wildlife Resources Prohibited</w:t>
            </w:r>
          </w:p>
        </w:tc>
        <w:tc>
          <w:p>
            <w:r>
              <w:t>Adjacent to a county described by Paragraph (A) and has a population of less than 9,000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61.021(c)(2)(B)</w:t>
            </w:r>
          </w:p>
        </w:tc>
        <w:tc>
          <w:p>
            <w:r>
              <w:t>Taking Wildlife Resources Prohibited</w:t>
            </w:r>
          </w:p>
        </w:tc>
        <w:tc>
          <w:p>
            <w:r>
              <w:t>Adjacent to a county described by Paragraph (A) and has a population of less than 8,000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352.003(t)</w:t>
            </w:r>
          </w:p>
        </w:tc>
        <w:tc>
          <w:p>
            <w:r>
              <w:t>Tax Rates</w:t>
            </w:r>
          </w:p>
        </w:tc>
        <w:tc>
          <w:p>
            <w:r>
              <w:t>Less than 25,000 and that is adjacent to a county with more than 750,000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