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6f904a2b1452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1477.301(2)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90,000 that borders the United Mexican States other than a county that contains 3 or more municipalities that each have a population of more than 17,500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288.002(3)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less than 300,000 and contains 1 or more municipalities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289.002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less than 300,000 and contains 1 or more municipalities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364.011(a-1)(2)</w:t>
            </w:r>
          </w:p>
        </w:tc>
        <w:tc>
          <w:p>
            <w:r>
              <w:t>County Adoption of Solid Waste Rules</w:t>
            </w:r>
          </w:p>
        </w:tc>
        <w:tc>
          <w:p>
            <w:r>
              <w:t>Adjacent to the United Mexican States; has less than 300,000; and contains a municipality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352.002(a)(2)</w:t>
            </w:r>
          </w:p>
        </w:tc>
        <w:tc>
          <w:p>
            <w:r>
              <w:t>Tax Authorized</w:t>
            </w:r>
          </w:p>
        </w:tc>
        <w:tc>
          <w:p>
            <w:r>
              <w:t>90,000 or more, borders the United Mexican States, does not border the Gulf of Mexico, and does not have 4 or more cities that each have a population of more than 25,000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