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01c851e0045b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31.0925(a)(1)</w:t>
            </w:r>
          </w:p>
        </w:tc>
        <w:tc>
          <w:p>
            <w:r>
              <w:t>Request for Services Required</w:t>
            </w:r>
          </w:p>
        </w:tc>
        <w:tc>
          <w:p>
            <w:r>
              <w:t>More than 500,000; and does not contain municipality with more than 150,000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753.103(b)(3)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500,000 but not more than 999,999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292B.002</w:t>
            </w:r>
          </w:p>
        </w:tc>
        <w:tc>
          <w:p>
            <w:r>
              <w:t>Applicability</w:t>
            </w:r>
          </w:p>
        </w:tc>
        <w:tc>
          <w:p>
            <w:r>
              <w:t>Is not served by a hospital district or a public hospital; has more than 400,000; and is adjacent to the county containing the state capital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320.0455(a)(3)</w:t>
            </w:r>
          </w:p>
        </w:tc>
        <w:tc>
          <w:p>
            <w:r>
              <w:t>Rules in Certain Counties; Penalty for Violations</w:t>
            </w:r>
          </w:p>
        </w:tc>
        <w:tc>
          <w:p>
            <w:r>
              <w:t>More than 550,000 and less than 620,000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644.101(c)(4)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400,000 or more that borders the county in which the State Capitol is located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