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03472f36f248a1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148.001(2)(C)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(B)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201.151(e)</w:t>
            </w:r>
          </w:p>
        </w:tc>
        <w:tc>
          <w:p>
            <w:r>
              <w:t>Use of County Machinery and Equipment</w:t>
            </w:r>
          </w:p>
        </w:tc>
        <w:tc>
          <w:p>
            <w:r>
              <w:t>Not less than 22,000 or more than 23,000, not less than 60,000 nor more than 80,000, or not less than 290,000 nor more than 360,000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234.032(2)</w:t>
            </w:r>
          </w:p>
        </w:tc>
        <w:tc>
          <w:p>
            <w:r>
              <w:t>Applicability</w:t>
            </w:r>
          </w:p>
        </w:tc>
        <w:tc>
          <w:p>
            <w:r>
              <w:t>Adjacent to a county described by Subdivision (1)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352.002(w)</w:t>
            </w:r>
          </w:p>
        </w:tc>
        <w:tc>
          <w:p>
            <w:r>
              <w:t>Tax Authorized</w:t>
            </w:r>
          </w:p>
        </w:tc>
        <w:tc>
          <w:p>
            <w:r>
              <w:t>More than 65,000 that contains a portion of a national grassland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623.219(b)</w:t>
            </w:r>
          </w:p>
        </w:tc>
        <w:tc>
          <w:p>
            <w:r>
              <w:t>Route Designation</w:t>
            </w:r>
          </w:p>
        </w:tc>
        <w:tc>
          <w:p>
            <w:r>
              <w:t>Adjacent to at least two counties with 550,000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