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84df1009b420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352.002(a)(24)</w:t>
            </w:r>
          </w:p>
        </w:tc>
        <w:tc>
          <w:p>
            <w:r>
              <w:t>Tax Authorized</w:t>
            </w:r>
          </w:p>
        </w:tc>
        <w:tc>
          <w:p>
            <w:r>
              <w:t>16,000 or more and borders the entire north shore of Lake Somerville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