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a57df997c411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292E.002(2)(A)</w:t>
            </w:r>
          </w:p>
        </w:tc>
        <w:tc>
          <w:p>
            <w:r>
              <w:t>Applicability</w:t>
            </w:r>
          </w:p>
        </w:tc>
        <w:tc>
          <w:p>
            <w:r>
              <w:t>More than 46,000 and less than 50,000; and is adjacent to the county containing the state capital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352.002(a)(17)</w:t>
            </w:r>
          </w:p>
        </w:tc>
        <w:tc>
          <w:p>
            <w:r>
              <w:t>Tax Authorized</w:t>
            </w:r>
          </w:p>
        </w:tc>
        <w:tc>
          <w:p>
            <w:r>
              <w:t>34,000 or more and borders Lake Buchanan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352.002(p)</w:t>
            </w:r>
          </w:p>
        </w:tc>
        <w:tc>
          <w:p>
            <w:r>
              <w:t>Tax Authorized</w:t>
            </w:r>
          </w:p>
        </w:tc>
        <w:tc>
          <w:p>
            <w:r>
              <w:t>100,000 or less, in which 2 state parks are located, and through which the Colorado River flows but that is not bordered by that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644.101(c)(7)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40,000 and less than 300,000 that is adjacent to a county described by subdivision (4)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