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42b50aa2a428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2740f-5</w:t>
            </w:r>
          </w:p>
        </w:tc>
        <w:tc>
          <w:p>
            <w:r>
              <w:t>Education - Public,County Unit System,County unit system in counties of 27,000 to 30,000</w:t>
            </w:r>
          </w:p>
        </w:tc>
        <w:tc>
          <w:p>
            <w:r>
              <w:t>Not less than 27,000 and not more than 30,000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 Ch. 11, Art. 2688i-1, Sec. 6</w:t>
            </w:r>
          </w:p>
        </w:tc>
        <w:tc>
          <w:p>
            <w:r>
              <w:t>Education - Public,County Schools,County superintendents, ex officio county superintendents and county boards of education; abolition of offices in certain counties; transfer of duties</w:t>
            </w:r>
          </w:p>
        </w:tc>
        <w:tc>
          <w:p>
            <w:r>
              <w:t>More than 28,450 and less than 29,000 or a population of more than 31,045 and less than 31,247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