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4f8b576f3e4ae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148.001(2)(B)</w:t>
            </w:r>
          </w:p>
        </w:tc>
        <w:tc>
          <w:p>
            <w:r>
              <w:t>Definition</w:t>
            </w:r>
          </w:p>
        </w:tc>
        <w:tc>
          <w:p>
            <w:r>
              <w:t>County in which two or more municipalities with a population of 280,000 or more are wholly or primarily located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533.00257(j)(1)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540A.0051(c)(1)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750,000 or more; in which all or part of a municipality with a population of 1 million or more is located; and that is located adjacent to a county with a population of 2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292E.002(2)(C)</w:t>
            </w:r>
          </w:p>
        </w:tc>
        <w:tc>
          <w:p>
            <w:r>
              <w:t>Applicability</w:t>
            </w:r>
          </w:p>
        </w:tc>
        <w:tc>
          <w:p>
            <w:r>
              <w:t>One million or more; contains all or part of a municipality with a population of one million or more; and is adjacent to a county with a population of 2.5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234.032(3)(B)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(2) and in which two or more municipalities with a population of 280,000 or more are partly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2301.6521(a)(2)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800,000 or more but less than 1.1 million that is adjacent to a county with a population of 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