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1e6e31b4f049c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562.110(j)</w:t>
            </w:r>
          </w:p>
        </w:tc>
        <w:tc>
          <w:p>
            <w:r>
              <w:t>Telepharmacy Systems</w:t>
            </w:r>
          </w:p>
        </w:tc>
        <w:tc>
          <w:p>
            <w:r>
              <w:t>At least 13,000 but not more than 14,000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2700d-37</w:t>
            </w:r>
          </w:p>
        </w:tc>
        <w:tc>
          <w:p>
            <w:r>
              <w:t>Education - Public,County Schools,County superintendent--Salary and expenses--Compensation of school trustees--Counties of 13,450 to 13,600 and 19,950 to 20,100 population</w:t>
            </w:r>
          </w:p>
        </w:tc>
        <w:tc>
          <w:p>
            <w:r>
              <w:t>Not less than 13,450 and not more than 13,600;Not less than 19,950 nor more than 20,100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