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2f151c077458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2051.0441(a)</w:t>
            </w:r>
          </w:p>
        </w:tc>
        <w:tc>
          <w:p>
            <w:r>
              <w:t>Type of Newspaper Required for Publication in Certain Counties</w:t>
            </w:r>
          </w:p>
        </w:tc>
        <w:tc>
          <w:p>
            <w:r>
              <w:t>At least 30,000 and not more than 42,000 that borders the Red River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366.012(a)(2)(F)</w:t>
            </w:r>
          </w:p>
        </w:tc>
        <w:tc>
          <w:p>
            <w:r>
              <w:t>Rules Concerning on-Site Sewage Disposal Systems</w:t>
            </w:r>
          </w:p>
        </w:tc>
        <w:tc>
          <w:p>
            <w:r>
              <w:t>More than 40,000 and less than 50,000 that borders the Red River along the Oklahoma state line and has a major interstate road running through it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2700d-18</w:t>
            </w:r>
          </w:p>
        </w:tc>
        <w:tc>
          <w:p>
            <w:r>
              <w:t>Education - Public,County Schools,Salary and expenses of superintendents in counties of enumerated population </w:t>
            </w:r>
          </w:p>
        </w:tc>
        <w:tc>
          <w:p>
            <w:r>
              <w:t>Not less than 21,816 and not more than 21,826;Not less than 41,000 and not more than 42,000;Not less than 13,385 and not more than 13,395;etc.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