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af8bde93c440f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148.001(2)(C)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(B)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1372.026(a)(3)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100,000 or more but 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</w:t>
            </w:r>
          </w:p>
        </w:tc>
        <w:tc>
          <w:p>
            <w:r>
              <w:t>Education - Public,County Schools,Superintendent's salary and expenses in counties of 100,000 to 150,000</w:t>
            </w:r>
          </w:p>
        </w:tc>
        <w:tc>
          <w:p>
            <w:r>
              <w:t>Not less than 100,000 nor more than 150,000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623.219(b)</w:t>
            </w:r>
          </w:p>
        </w:tc>
        <w:tc>
          <w:p>
            <w:r>
              <w:t>Route Designation</w:t>
            </w:r>
          </w:p>
        </w:tc>
        <w:tc>
          <w:p>
            <w:r>
              <w:t>Adjacent to at least two counties with 550,000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13.245(c-5)(3)</w:t>
            </w:r>
          </w:p>
        </w:tc>
        <w:tc>
          <w:p>
            <w:r>
              <w:t>Municipal Boundaries or Extraterritorial Jurisdiction of Certain Municipalities</w:t>
            </w:r>
          </w:p>
        </w:tc>
        <w:tc>
          <w:p>
            <w:r>
              <w:t>More than 100,000 and less than 200,000 that borders a county described by Subdivision (2)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13.254(a-10)(2)</w:t>
            </w:r>
          </w:p>
        </w:tc>
        <w:tc>
          <w:p>
            <w:r>
              <w:t>Decertification Initiated by Utility Commission or Utility; Expedited Release Initiated by Landowner</w:t>
            </w:r>
          </w:p>
        </w:tc>
        <w:tc>
          <w:p>
            <w:r>
              <w:t>More than 100,000 and less than 200,000 that borders a county described by Subdivision (1)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