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88dbd9619e4f7b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171.025(e)</w:t>
            </w:r>
          </w:p>
        </w:tc>
        <w:tc>
          <w:p>
            <w:r>
              <w:t>Procedure for Filling Vacancy in Office of County Chair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61.013(a)(2)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2,000 or more but 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158.003(b)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563.053(b)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542.402(b-1)(1)</w:t>
            </w:r>
          </w:p>
        </w:tc>
        <w:tc>
          <w:p>
            <w:r>
              <w:t>Traffic Regulations: Private Subdivision in Certain Counties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15.901(3)(A)</w:t>
            </w:r>
          </w:p>
        </w:tc>
        <w:tc>
          <w:p>
            <w:r>
              <w:t>Definitions ("Rural Community")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